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sectPr>
          <w:type w:val="nextPage"/>
          <w:pgSz w:h="16838" w:w="11906"/>
          <w:pgMar w:bottom="1134" w:footer="0" w:gutter="0" w:header="0" w:left="1701" w:right="850" w:top="1134"/>
          <w:pgNumType w:fmt="decimal"/>
          <w:formProt w:val="false"/>
          <w:textDirection w:val="lrTb"/>
          <w:docGrid w:charSpace="4096" w:linePitch="360" w:type="default"/>
        </w:sectPr>
      </w:pP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0"/>
          <w:bottom w:type="dxa" w:w="0"/>
          <w:right w:type="dxa" w:w="0"/>
        </w:tblCellMar>
      </w:tblPr>
      <w:tblGrid>
        <w:gridCol w:w="10095"/>
      </w:tblGrid>
      <w:tr>
        <w:trPr>
          <w:cantSplit w:val="false"/>
        </w:trPr>
        <w:tc>
          <w:tcPr>
            <w:tcW w:type="dxa" w:w="10095"/>
            <w:tcBorders>
              <w:top w:val="none"/>
              <w:left w:val="none"/>
              <w:bottom w:val="none"/>
              <w:right w:val="none"/>
            </w:tcBorders>
            <w:shd w:fill="EFE9D1" w:val="clear"/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Verdana" w:cs="Arial" w:eastAsia="Times New Roman" w:hAnsi="Verdana"/>
                <w:b/>
                <w:bCs/>
                <w:color w:val="292E2A"/>
                <w:sz w:val="32"/>
                <w:szCs w:val="32"/>
                <w:lang w:eastAsia="ru-RU"/>
              </w:rPr>
              <w:t>AOR AR8200 Mark3 Широкополосный портативный сканирующий приемник</w:t>
            </w:r>
          </w:p>
        </w:tc>
      </w:tr>
      <w:tr>
        <w:trPr>
          <w:cantSplit w:val="false"/>
        </w:trPr>
        <w:tc>
          <w:tcPr>
            <w:tcW w:type="dxa" w:w="10095"/>
            <w:tcBorders>
              <w:top w:val="none"/>
              <w:left w:val="none"/>
              <w:bottom w:val="none"/>
              <w:right w:val="none"/>
            </w:tcBorders>
            <w:shd w:fill="EFE9D1" w:val="clear"/>
            <w:vAlign w:val="center"/>
          </w:tcPr>
          <w:tbl>
            <w:tblPr>
              <w:jc w:val="center"/>
              <w:tblInd w:type="dxa" w:w="45"/>
              <w:tblBorders>
                <w:top w:val="none"/>
                <w:left w:val="none"/>
                <w:bottom w:val="none"/>
                <w:insideH w:val="none"/>
                <w:right w:val="none"/>
                <w:insideV w:val="none"/>
              </w:tblBorders>
              <w:tblCellMar>
                <w:top w:type="dxa" w:w="45"/>
                <w:left w:type="dxa" w:w="45"/>
                <w:bottom w:type="dxa" w:w="45"/>
                <w:right w:type="dxa" w:w="45"/>
              </w:tblCellMar>
            </w:tblPr>
            <w:tblGrid>
              <w:gridCol w:w="4650"/>
            </w:tblGrid>
            <w:tr>
              <w:trPr>
                <w:cantSplit w:val="false"/>
              </w:trPr>
              <w:tc>
                <w:tcPr>
                  <w:tcW w:type="dxa" w:w="4650"/>
                  <w:tcBorders>
                    <w:top w:val="none"/>
                    <w:left w:val="none"/>
                    <w:bottom w:val="none"/>
                    <w:right w:val="none"/>
                  </w:tcBorders>
                  <w:shd w:fill="auto" w:val="clear"/>
                  <w:vAlign w:val="center"/>
                </w:tcPr>
                <w:tbl>
                  <w:tblPr>
                    <w:jc w:val="center"/>
                    <w:tblInd w:type="dxa" w:w="0"/>
                    <w:tblBorders>
                      <w:top w:val="none"/>
                      <w:left w:val="none"/>
                      <w:bottom w:val="none"/>
                      <w:insideH w:val="none"/>
                      <w:right w:val="none"/>
                      <w:insideV w:val="none"/>
                    </w:tblBorders>
                    <w:tblCellMar>
                      <w:top w:type="dxa" w:w="0"/>
                      <w:left w:type="dxa" w:w="0"/>
                      <w:bottom w:type="dxa" w:w="0"/>
                      <w:right w:type="dxa" w:w="0"/>
                    </w:tblCellMar>
                  </w:tblPr>
                  <w:tblGrid>
                    <w:gridCol w:w="4500"/>
                  </w:tblGrid>
                  <w:tr>
                    <w:trPr>
                      <w:trHeight w:hRule="atLeast" w:val="60"/>
                      <w:cantSplit w:val="false"/>
                    </w:trPr>
                    <w:tc>
                      <w:tcPr>
                        <w:tcW w:type="dxa" w:w="4500"/>
                        <w:tcBorders>
                          <w:top w:val="none"/>
                          <w:left w:val="none"/>
                          <w:bottom w:val="none"/>
                          <w:right w:val="none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style0"/>
                          <w:spacing w:after="0" w:before="0" w:line="100" w:lineRule="atLeast"/>
                          <w:contextualSpacing w:val="false"/>
                        </w:pPr>
                        <w:r>
                          <w:rPr>
                            <w:rFonts w:ascii="Arial" w:cs="Arial" w:eastAsia="Times New Roman" w:hAnsi="Arial"/>
                            <w:sz w:val="6"/>
                            <w:szCs w:val="18"/>
                            <w:lang w:eastAsia="ru-RU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type="dxa" w:w="4500"/>
                        <w:tcBorders>
                          <w:top w:val="none"/>
                          <w:left w:val="none"/>
                          <w:bottom w:val="none"/>
                          <w:right w:val="none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style0"/>
                          <w:spacing w:after="0" w:before="0" w:line="100" w:lineRule="atLeast"/>
                          <w:contextualSpacing w:val="false"/>
                          <w:jc w:val="center"/>
                        </w:pPr>
                        <w:bookmarkStart w:id="0" w:name="anch_current_picture"/>
                        <w:bookmarkEnd w:id="0"/>
                        <w:r>
                          <w:rPr/>
                          <w:drawing>
                            <wp:inline distB="0" distL="0" distR="0" distT="0">
                              <wp:extent cx="2857500" cy="2857500"/>
                              <wp:effectExtent b="0" l="0" r="0" t="0"/>
                              <wp:docPr descr="AOR 8200 Сканирующий приемник | Купить | AOR AR-8200 Mk3" id="0" name="Pictur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descr="AOR 8200 Сканирующий приемник | Купить | AOR AR-8200 Mk3" id="0" name="Picture"/>
                                      <pic:cNvPicPr>
                                        <a:picLocks noChangeArrowheads="1" noChangeAspect="1"/>
                                      </pic:cNvPicPr>
                                    </pic:nvPicPr>
                                    <pic:blipFill>
                                      <a:blip r:embed="rId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57500" cy="2857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>
                    <w:trPr>
                      <w:trHeight w:hRule="atLeast" w:val="60"/>
                      <w:cantSplit w:val="false"/>
                    </w:trPr>
                    <w:tc>
                      <w:tcPr>
                        <w:tcW w:type="dxa" w:w="4500"/>
                        <w:tcBorders>
                          <w:top w:val="none"/>
                          <w:left w:val="none"/>
                          <w:bottom w:val="none"/>
                          <w:right w:val="none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style0"/>
                          <w:spacing w:after="0" w:before="0" w:line="100" w:lineRule="atLeast"/>
                          <w:contextualSpacing w:val="false"/>
                        </w:pPr>
                        <w:r>
                          <w:rPr>
                            <w:rFonts w:ascii="Arial" w:cs="Arial" w:eastAsia="Times New Roman" w:hAnsi="Arial"/>
                            <w:sz w:val="6"/>
                            <w:szCs w:val="18"/>
                            <w:lang w:eastAsia="ru-RU"/>
                          </w:rPr>
                        </w:r>
                      </w:p>
                    </w:tc>
                  </w:tr>
                </w:tbl>
                <w:p>
                  <w:pPr>
                    <w:pStyle w:val="style0"/>
                    <w:spacing w:after="0" w:before="0" w:line="100" w:lineRule="atLeast"/>
                    <w:contextualSpacing w:val="false"/>
                    <w:jc w:val="center"/>
                  </w:pPr>
                  <w:r>
                    <w:rPr>
                      <w:rFonts w:ascii="Arial" w:cs="Arial" w:eastAsia="Times New Roman" w:hAnsi="Arial"/>
                      <w:sz w:val="18"/>
                      <w:szCs w:val="18"/>
                      <w:lang w:eastAsia="ru-RU"/>
                    </w:rPr>
                  </w:r>
                </w:p>
              </w:tc>
            </w:tr>
          </w:tbl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eastAsia="Times New Roman" w:hAnsi="Arial"/>
                <w:sz w:val="18"/>
                <w:szCs w:val="18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10095"/>
            <w:tcBorders>
              <w:top w:val="none"/>
              <w:left w:val="none"/>
              <w:bottom w:val="none"/>
              <w:right w:val="none"/>
            </w:tcBorders>
            <w:shd w:fill="EFE9D1" w:val="clear"/>
            <w:vAlign w:val="center"/>
          </w:tcPr>
          <w:tbl>
            <w:tblPr>
              <w:jc w:val="left"/>
              <w:tblInd w:type="dxa" w:w="15"/>
              <w:tblBorders>
                <w:top w:val="none"/>
                <w:left w:val="none"/>
                <w:bottom w:val="none"/>
                <w:insideH w:val="none"/>
                <w:right w:val="none"/>
                <w:insideV w:val="none"/>
              </w:tblBorders>
              <w:tblCellMar>
                <w:top w:type="dxa" w:w="15"/>
                <w:left w:type="dxa" w:w="15"/>
                <w:bottom w:type="dxa" w:w="15"/>
                <w:right w:type="dxa" w:w="15"/>
              </w:tblCellMar>
            </w:tblPr>
            <w:tblGrid>
              <w:gridCol w:w="1716"/>
              <w:gridCol w:w="2699"/>
            </w:tblGrid>
            <w:tr>
              <w:trPr>
                <w:cantSplit w:val="false"/>
              </w:trPr>
              <w:tc>
                <w:tcPr>
                  <w:tcW w:type="dxa" w:w="1716"/>
                  <w:tcBorders>
                    <w:top w:val="none"/>
                    <w:left w:val="none"/>
                    <w:bottom w:val="none"/>
                    <w:right w:val="none"/>
                  </w:tcBorders>
                  <w:shd w:fill="auto" w:val="clear"/>
                  <w:vAlign w:val="center"/>
                </w:tcPr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/>
                  </w:r>
                </w:p>
              </w:tc>
              <w:tc>
                <w:tcPr>
                  <w:tcW w:type="dxa" w:w="2699"/>
                  <w:tcBorders>
                    <w:top w:val="none"/>
                    <w:left w:val="none"/>
                    <w:bottom w:val="none"/>
                    <w:right w:val="none"/>
                  </w:tcBorders>
                  <w:shd w:fill="auto" w:val="clear"/>
                  <w:vAlign w:val="center"/>
                </w:tcPr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/>
                  </w:r>
                </w:p>
              </w:tc>
            </w:tr>
          </w:tbl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eastAsia="Times New Roman" w:hAnsi="Arial"/>
                <w:sz w:val="18"/>
                <w:szCs w:val="18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10095"/>
            <w:tcBorders>
              <w:top w:val="none"/>
              <w:left w:val="none"/>
              <w:bottom w:val="none"/>
              <w:right w:val="none"/>
            </w:tcBorders>
            <w:shd w:fill="EFE9D1" w:val="clear"/>
            <w:vAlign w:val="center"/>
          </w:tcPr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AOR AR8200 Mk3 - широкополосный сканирующий приемник профессионального уровня с широким выбором опциональных модулей</w:t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 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Основные функции AOR AR-8200: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Память</w:t>
              <w:br/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1000 каналов памяти (20 банков по 50 каналов; возможно динамическое перераспределение количества каналов между парными банками A/a, B/b и т.п.); 2050 каналов пропуска; 40 банков (пар пограничных частот) поиска; один приоритетный канал. Банки памяти обозначаются буквами A, B, C, D, E, F, G, H, I, J и a,b,c,d,e,f,g,h,i,j.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Каналы изначально имеют номера от 00 до 49. В процессе эксплуатации каналам и банкам можно присваивать собственные буквенно-цифровые обозначения длиной до 12 символов. Каналы могут редактироваться, удаляться и копироваться. Банки могут быть скопированы или удалены целиком.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Управление, эргономика</w:t>
              <w:br/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Передняя панель: клавиатура буквенно-цифрового набора, 19 кнопок.</w:t>
              <w:br/>
              <w:t>Верхняя панель: отдельные регуляторы шумоподавителя и громкости.</w:t>
              <w:br/>
              <w:t>Боковые панели: "moni" (отключение шумодава), "lock" - блокировка клавиатуры, функциональная клавиша, четыре стрелки, валкодер в виде колесика (ручка настройки).</w:t>
              <w:br/>
              <w:t>Включение/выключение приемника: отдельной кнопкой на передней панели.</w:t>
              <w:br/>
              <w:t>Клавиатура с подсветкой.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Дисплей</w:t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br/>
              <w:t>Матричный, 4-х строчный (по 12 символов), есть 20 индикаторов. Возможна 32-ступенчатая регулировка контрастности. Подсветка 4-мя светодиодами (зеленого цвета).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Индикация</w:t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 </w:t>
              <w:br/>
              <w:t>Частота, модуляция, шаг, номера банков и каналов, 14-сегментый S-метр, шкала спектроскопа, названия каналов, банков, служебные сообщения, частоты VFO и т.п.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VFO</w:t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br/>
              <w:t>Двойной. Две частоты VFO могут быть отображены на ЖК-дисплее одновременно. Оба контура работают независимо и поддерживают частоту, модуляцию, шаг подстройки, режим аттенюатора, режим ограничителя шума, разнос частот и т.п.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Для режима VFO предусмотрены 10 своих отдельных каналов памяти для быстрого сохранения заинтересовавших частот с их последующим рассмотрением.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В режиме VFO возможно сканирование - т.е. постоянная проверка наличия сигнала на обоих частотах, что снимает необходимость ручного переключения между ними. При таком сканировании возможно включение тех же условных параметров, что и при обычном.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bookmarkStart w:id="1" w:name="_GoBack"/>
            <w:bookmarkEnd w:id="1"/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В режиме VFO возможен стандартный поиск - в этом случае он производится в полосе между частотами VFO. При таком поиске возможно включение тех же условных параметров, что и при обычном.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Сканирование</w:t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br/>
              <w:t>Возможно сканирование отдельных "банков памяти" либо формирование групп банков для сканирования. Количество групп - от 1 до 9. Для каждой группы запоминаются параметры сканирования.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Возможно сканирование выбранных каналов по списку ("выборочное сканирование"), в который может быть внесено до 100 каналов из различных банков. Этот список также можно потом отдельно сканировать, причем установив и запомнив параметры сканирования.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В процессе сканирования отдельные каналы можно вносить в список пропускаемых (всего 2050 каналов).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Возможно сканирование парных частот VFO (подробнее см. в графе VFO).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При любом из режимов сканирования возможно автоматическое сохранение некоторых активных каналов (не путать с автосохранением при поиске!) в отдельный банк памяти для избирательного сканирования - до 100 каналов.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Краткие технические характеристики приемника AOR AR8200 Mk3: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Диапазон частот на прием: </w:t>
            </w: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500 кГц – 3000 МГц</w:t>
              <w:br/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Тип приемника: </w:t>
            </w: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супергетеродин с тройным преобразованием</w:t>
              <w:br/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Скорость сканирования, каналов / сек: </w:t>
            </w: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37</w:t>
              <w:br/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Виды модуляции: </w:t>
            </w: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NFM WFM AM USB LSB CW SFM NAM WAM</w:t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br/>
              <w:t>Шаг подстройки частоты: </w:t>
            </w: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программируемый от 50 Гц до 999 кГц, включая авиационный 8.33</w:t>
              <w:br/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Антенный разъем на приемнике:</w:t>
            </w: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 BNC-мама</w:t>
              <w:br/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Диапазон рабочих температур, °С: </w:t>
            </w: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-5...+50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Чувствительность AR8200 mk.III, мкВ: </w:t>
            </w:r>
          </w:p>
          <w:p>
            <w:pPr>
              <w:pStyle w:val="style0"/>
              <w:numPr>
                <w:ilvl w:val="0"/>
                <w:numId w:val="1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от 500 кГц до 1.9 МГц AM - 3.5 </w:t>
            </w:r>
          </w:p>
          <w:p>
            <w:pPr>
              <w:pStyle w:val="style0"/>
              <w:numPr>
                <w:ilvl w:val="0"/>
                <w:numId w:val="1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от 1.9 MГц до 30 MГц SSB - 1.5; AM - 2.5 </w:t>
            </w:r>
          </w:p>
          <w:p>
            <w:pPr>
              <w:pStyle w:val="style0"/>
              <w:numPr>
                <w:ilvl w:val="0"/>
                <w:numId w:val="1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от 30 МГц до 470 МГц SSB - 0.3; AM - 1.5; NFM - 0.85; WFM - 1.5 </w:t>
            </w:r>
          </w:p>
          <w:p>
            <w:pPr>
              <w:pStyle w:val="style0"/>
              <w:numPr>
                <w:ilvl w:val="0"/>
                <w:numId w:val="1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от 470 МГц до 1.04 ГГц NFM - 0.9 </w:t>
            </w:r>
          </w:p>
          <w:p>
            <w:pPr>
              <w:pStyle w:val="style0"/>
              <w:numPr>
                <w:ilvl w:val="0"/>
                <w:numId w:val="1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от 1.04 ГГц до 2.04 ГГц NFM - 9.0 </w:t>
            </w:r>
          </w:p>
          <w:p>
            <w:pPr>
              <w:pStyle w:val="style0"/>
              <w:numPr>
                <w:ilvl w:val="0"/>
                <w:numId w:val="1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от 2.04 ГГц до 3 ГГц NFM - 25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Избирательность:</w:t>
            </w:r>
          </w:p>
          <w:p>
            <w:pPr>
              <w:pStyle w:val="style0"/>
              <w:numPr>
                <w:ilvl w:val="0"/>
                <w:numId w:val="2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SSB/NAM: 3 кГц (-6 дБ), 9 кГц (-60 дБ) </w:t>
            </w:r>
          </w:p>
          <w:p>
            <w:pPr>
              <w:pStyle w:val="style0"/>
              <w:numPr>
                <w:ilvl w:val="0"/>
                <w:numId w:val="2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AM/SFM: 9 кГц (-6 дБ), 20 кГц (-40 дБ) </w:t>
            </w:r>
          </w:p>
          <w:p>
            <w:pPr>
              <w:pStyle w:val="style0"/>
              <w:numPr>
                <w:ilvl w:val="0"/>
                <w:numId w:val="2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WAM/NFM: 12 кГц (-6 дБ), 25 кГц (-40 дБ) </w:t>
            </w:r>
          </w:p>
          <w:p>
            <w:pPr>
              <w:pStyle w:val="style0"/>
              <w:numPr>
                <w:ilvl w:val="0"/>
                <w:numId w:val="2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WFM: 150 кГц (-3 дБ), 380 кГц (-20 дБ)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Полосы пропускания: </w:t>
            </w:r>
          </w:p>
          <w:p>
            <w:pPr>
              <w:pStyle w:val="style0"/>
              <w:numPr>
                <w:ilvl w:val="0"/>
                <w:numId w:val="3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FM-W 150 кГц </w:t>
            </w:r>
          </w:p>
          <w:p>
            <w:pPr>
              <w:pStyle w:val="style0"/>
              <w:numPr>
                <w:ilvl w:val="0"/>
                <w:numId w:val="3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FM-N/AM-W 12 кГц </w:t>
            </w:r>
          </w:p>
          <w:p>
            <w:pPr>
              <w:pStyle w:val="style0"/>
              <w:numPr>
                <w:ilvl w:val="0"/>
                <w:numId w:val="3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AM/FM-S 9 кГц </w:t>
            </w:r>
          </w:p>
          <w:p>
            <w:pPr>
              <w:pStyle w:val="style0"/>
              <w:numPr>
                <w:ilvl w:val="0"/>
                <w:numId w:val="3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 w:val="en-US"/>
              </w:rPr>
              <w:t xml:space="preserve">AM-N/SSB 3 </w:t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кГц</w:t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 w:val="en-US"/>
              </w:rPr>
              <w:t xml:space="preserve"> (-6 </w:t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дБ</w:t>
            </w: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 w:val="en-US"/>
              </w:rPr>
              <w:t>) 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Комплект поставки портативного сканирующего приемника AOR AR-8200 Mk3:</w:t>
            </w:r>
          </w:p>
          <w:p>
            <w:pPr>
              <w:pStyle w:val="style0"/>
              <w:numPr>
                <w:ilvl w:val="0"/>
                <w:numId w:val="4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Приемник AOR AR8200 Mk3</w:t>
            </w:r>
          </w:p>
          <w:p>
            <w:pPr>
              <w:pStyle w:val="style0"/>
              <w:numPr>
                <w:ilvl w:val="0"/>
                <w:numId w:val="4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RA8600 Антенна широкополосная, телескопическая</w:t>
            </w:r>
          </w:p>
          <w:p>
            <w:pPr>
              <w:pStyle w:val="style0"/>
              <w:numPr>
                <w:ilvl w:val="0"/>
                <w:numId w:val="4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Сетевой адаптер внешнего питания и зарядки установленных аккумуляторов типа AA/LR06</w:t>
            </w:r>
          </w:p>
          <w:p>
            <w:pPr>
              <w:pStyle w:val="style0"/>
              <w:numPr>
                <w:ilvl w:val="0"/>
                <w:numId w:val="4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Автомобильный адаптер, "прикуриватель"</w:t>
            </w:r>
          </w:p>
          <w:p>
            <w:pPr>
              <w:pStyle w:val="style0"/>
              <w:numPr>
                <w:ilvl w:val="0"/>
                <w:numId w:val="4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4 аккумулятора AA/LR06</w:t>
            </w:r>
          </w:p>
          <w:p>
            <w:pPr>
              <w:pStyle w:val="style0"/>
              <w:numPr>
                <w:ilvl w:val="0"/>
                <w:numId w:val="4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Ременная клипса с виновым кремплением</w:t>
            </w:r>
          </w:p>
          <w:p>
            <w:pPr>
              <w:pStyle w:val="style0"/>
              <w:numPr>
                <w:ilvl w:val="0"/>
                <w:numId w:val="4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Темляк (кистевой ремешок)</w:t>
            </w:r>
          </w:p>
          <w:p>
            <w:pPr>
              <w:pStyle w:val="style0"/>
              <w:numPr>
                <w:ilvl w:val="0"/>
                <w:numId w:val="4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Инструкция по эксплуатации AOR AR8200 Mk3</w:t>
            </w:r>
          </w:p>
          <w:p>
            <w:pPr>
              <w:pStyle w:val="style0"/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b/>
                <w:bCs/>
                <w:color w:val="292E2A"/>
                <w:sz w:val="18"/>
                <w:szCs w:val="18"/>
                <w:lang w:eastAsia="ru-RU"/>
              </w:rPr>
              <w:t>Оригинальные аксессуары для портативного сканирующего приемника AOR AR8200 Mk3:</w:t>
            </w:r>
          </w:p>
          <w:p>
            <w:pPr>
              <w:pStyle w:val="style0"/>
              <w:numPr>
                <w:ilvl w:val="0"/>
                <w:numId w:val="5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RA8600 Антенна широкополосная, телескопическая</w:t>
            </w:r>
          </w:p>
          <w:p>
            <w:pPr>
              <w:pStyle w:val="style0"/>
              <w:numPr>
                <w:ilvl w:val="0"/>
                <w:numId w:val="6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ABF128 Полосовой фильтр авиационного диапазона, 108-136 МГц</w:t>
            </w:r>
          </w:p>
          <w:p>
            <w:pPr>
              <w:pStyle w:val="style0"/>
              <w:numPr>
                <w:ilvl w:val="0"/>
                <w:numId w:val="7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EM8200 Карта расширения памяти на 4000 каналов в 160 банках поиска</w:t>
            </w:r>
          </w:p>
          <w:p>
            <w:pPr>
              <w:pStyle w:val="style0"/>
              <w:numPr>
                <w:ilvl w:val="0"/>
                <w:numId w:val="7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CT8200 Карта обнаружения сигналов с CTCSS кодировкой и декодированием до 50 тонов</w:t>
            </w:r>
          </w:p>
          <w:p>
            <w:pPr>
              <w:pStyle w:val="style0"/>
              <w:numPr>
                <w:ilvl w:val="0"/>
                <w:numId w:val="7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VI8200 Карта дешифратора аналоговых инверсных скремблеров, 157 типовых вариантов</w:t>
            </w:r>
          </w:p>
          <w:p>
            <w:pPr>
              <w:pStyle w:val="style0"/>
              <w:numPr>
                <w:ilvl w:val="0"/>
                <w:numId w:val="7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TE8200 Карта распознавания тональных сигнелов, 256 тонов в диапазоне 0.4.....4.2 кГц</w:t>
            </w:r>
          </w:p>
          <w:p>
            <w:pPr>
              <w:pStyle w:val="style0"/>
              <w:numPr>
                <w:ilvl w:val="0"/>
                <w:numId w:val="7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RU8200 Карта записи принятых сигналов за последних 20 секунд</w:t>
            </w:r>
          </w:p>
          <w:p>
            <w:pPr>
              <w:pStyle w:val="style0"/>
              <w:numPr>
                <w:ilvl w:val="0"/>
                <w:numId w:val="8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CO8200 Кабель клонирования</w:t>
            </w:r>
          </w:p>
          <w:p>
            <w:pPr>
              <w:pStyle w:val="style0"/>
              <w:numPr>
                <w:ilvl w:val="0"/>
                <w:numId w:val="8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PC8200 Интерфейс подключения к компьютеру</w:t>
            </w:r>
          </w:p>
          <w:p>
            <w:pPr>
              <w:pStyle w:val="style0"/>
              <w:numPr>
                <w:ilvl w:val="0"/>
                <w:numId w:val="8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CC8200 Кабель управления и программирования, COM-port (RS-232)</w:t>
            </w:r>
          </w:p>
          <w:p>
            <w:pPr>
              <w:pStyle w:val="style0"/>
              <w:numPr>
                <w:ilvl w:val="0"/>
                <w:numId w:val="8"/>
              </w:numPr>
              <w:spacing w:after="100" w:before="100" w:line="100" w:lineRule="atLeast"/>
              <w:contextualSpacing w:val="false"/>
            </w:pPr>
            <w:r>
              <w:rPr>
                <w:rFonts w:ascii="Arial" w:cs="Arial" w:eastAsia="Times New Roman" w:hAnsi="Arial"/>
                <w:color w:val="292E2A"/>
                <w:sz w:val="18"/>
                <w:szCs w:val="18"/>
                <w:lang w:eastAsia="ru-RU"/>
              </w:rPr>
              <w:t>CR8200 Кабель подключения аналоговых записывающих аудио-устройств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Tahoma">
    <w:charset w:val="80"/>
    <w:family w:val="roman"/>
    <w:pitch w:val="variable"/>
  </w:font>
  <w:font w:name="Arial">
    <w:charset w:val="80"/>
    <w:family w:val="swiss"/>
    <w:pitch w:val="variable"/>
  </w:font>
  <w:font w:name="Verdana">
    <w:charset w:val="80"/>
    <w:family w:val="roman"/>
    <w:pitch w:val="variable"/>
  </w:font>
  <w:font w:name="Arial">
    <w:charset w:val="80"/>
    <w:family w:val="roman"/>
    <w:pitch w:val="variable"/>
  </w:font>
  <w:font w:name="Symbol">
    <w:charset w:val="02"/>
    <w:family w:val="auto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pos="2880" w:val="num"/>
        </w:tabs>
        <w:ind w:hanging="360" w:left="2880"/>
      </w:pPr>
      <w:rPr>
        <w:rFonts w:ascii="Wingdings" w:cs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pos="3600" w:val="num"/>
        </w:tabs>
        <w:ind w:hanging="360" w:left="3600"/>
      </w:pPr>
      <w:rPr>
        <w:rFonts w:ascii="Wingdings" w:cs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pos="5040" w:val="num"/>
        </w:tabs>
        <w:ind w:hanging="360" w:left="5040"/>
      </w:pPr>
      <w:rPr>
        <w:rFonts w:ascii="Wingdings" w:cs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pos="5760" w:val="num"/>
        </w:tabs>
        <w:ind w:hanging="360" w:left="5760"/>
      </w:pPr>
      <w:rPr>
        <w:rFonts w:ascii="Wingdings" w:cs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pos="2880" w:val="num"/>
        </w:tabs>
        <w:ind w:hanging="360" w:left="2880"/>
      </w:pPr>
      <w:rPr>
        <w:rFonts w:ascii="Wingdings" w:cs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pos="3600" w:val="num"/>
        </w:tabs>
        <w:ind w:hanging="360" w:left="3600"/>
      </w:pPr>
      <w:rPr>
        <w:rFonts w:ascii="Wingdings" w:cs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pos="5040" w:val="num"/>
        </w:tabs>
        <w:ind w:hanging="360" w:left="5040"/>
      </w:pPr>
      <w:rPr>
        <w:rFonts w:ascii="Wingdings" w:cs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pos="5760" w:val="num"/>
        </w:tabs>
        <w:ind w:hanging="360" w:left="5760"/>
      </w:pPr>
      <w:rPr>
        <w:rFonts w:ascii="Wingdings" w:cs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pos="2880" w:val="num"/>
        </w:tabs>
        <w:ind w:hanging="360" w:left="2880"/>
      </w:pPr>
      <w:rPr>
        <w:rFonts w:ascii="Wingdings" w:cs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pos="3600" w:val="num"/>
        </w:tabs>
        <w:ind w:hanging="360" w:left="3600"/>
      </w:pPr>
      <w:rPr>
        <w:rFonts w:ascii="Wingdings" w:cs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pos="5040" w:val="num"/>
        </w:tabs>
        <w:ind w:hanging="360" w:left="5040"/>
      </w:pPr>
      <w:rPr>
        <w:rFonts w:ascii="Wingdings" w:cs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pos="5760" w:val="num"/>
        </w:tabs>
        <w:ind w:hanging="360" w:left="5760"/>
      </w:pPr>
      <w:rPr>
        <w:rFonts w:ascii="Wingdings" w:cs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pos="2880" w:val="num"/>
        </w:tabs>
        <w:ind w:hanging="360" w:left="2880"/>
      </w:pPr>
      <w:rPr>
        <w:rFonts w:ascii="Wingdings" w:cs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pos="3600" w:val="num"/>
        </w:tabs>
        <w:ind w:hanging="360" w:left="3600"/>
      </w:pPr>
      <w:rPr>
        <w:rFonts w:ascii="Wingdings" w:cs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pos="5040" w:val="num"/>
        </w:tabs>
        <w:ind w:hanging="360" w:left="5040"/>
      </w:pPr>
      <w:rPr>
        <w:rFonts w:ascii="Wingdings" w:cs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pos="5760" w:val="num"/>
        </w:tabs>
        <w:ind w:hanging="360" w:left="5760"/>
      </w:pPr>
      <w:rPr>
        <w:rFonts w:ascii="Wingdings" w:cs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pos="2880" w:val="num"/>
        </w:tabs>
        <w:ind w:hanging="360" w:left="2880"/>
      </w:pPr>
      <w:rPr>
        <w:rFonts w:ascii="Wingdings" w:cs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pos="3600" w:val="num"/>
        </w:tabs>
        <w:ind w:hanging="360" w:left="3600"/>
      </w:pPr>
      <w:rPr>
        <w:rFonts w:ascii="Wingdings" w:cs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pos="5040" w:val="num"/>
        </w:tabs>
        <w:ind w:hanging="360" w:left="5040"/>
      </w:pPr>
      <w:rPr>
        <w:rFonts w:ascii="Wingdings" w:cs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pos="5760" w:val="num"/>
        </w:tabs>
        <w:ind w:hanging="360" w:left="5760"/>
      </w:pPr>
      <w:rPr>
        <w:rFonts w:ascii="Wingdings" w:cs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pos="2880" w:val="num"/>
        </w:tabs>
        <w:ind w:hanging="360" w:left="2880"/>
      </w:pPr>
      <w:rPr>
        <w:rFonts w:ascii="Wingdings" w:cs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pos="3600" w:val="num"/>
        </w:tabs>
        <w:ind w:hanging="360" w:left="3600"/>
      </w:pPr>
      <w:rPr>
        <w:rFonts w:ascii="Wingdings" w:cs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pos="5040" w:val="num"/>
        </w:tabs>
        <w:ind w:hanging="360" w:left="5040"/>
      </w:pPr>
      <w:rPr>
        <w:rFonts w:ascii="Wingdings" w:cs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pos="5760" w:val="num"/>
        </w:tabs>
        <w:ind w:hanging="360" w:left="5760"/>
      </w:pPr>
      <w:rPr>
        <w:rFonts w:ascii="Wingdings" w:cs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pos="2880" w:val="num"/>
        </w:tabs>
        <w:ind w:hanging="360" w:left="2880"/>
      </w:pPr>
      <w:rPr>
        <w:rFonts w:ascii="Wingdings" w:cs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pos="3600" w:val="num"/>
        </w:tabs>
        <w:ind w:hanging="360" w:left="3600"/>
      </w:pPr>
      <w:rPr>
        <w:rFonts w:ascii="Wingdings" w:cs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pos="5040" w:val="num"/>
        </w:tabs>
        <w:ind w:hanging="360" w:left="5040"/>
      </w:pPr>
      <w:rPr>
        <w:rFonts w:ascii="Wingdings" w:cs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pos="5760" w:val="num"/>
        </w:tabs>
        <w:ind w:hanging="360" w:left="5760"/>
      </w:pPr>
      <w:rPr>
        <w:rFonts w:ascii="Wingdings" w:cs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pos="2880" w:val="num"/>
        </w:tabs>
        <w:ind w:hanging="360" w:left="2880"/>
      </w:pPr>
      <w:rPr>
        <w:rFonts w:ascii="Wingdings" w:cs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pos="3600" w:val="num"/>
        </w:tabs>
        <w:ind w:hanging="360" w:left="3600"/>
      </w:pPr>
      <w:rPr>
        <w:rFonts w:ascii="Wingdings" w:cs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pos="5040" w:val="num"/>
        </w:tabs>
        <w:ind w:hanging="360" w:left="5040"/>
      </w:pPr>
      <w:rPr>
        <w:rFonts w:ascii="Wingdings" w:cs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pos="5760" w:val="num"/>
        </w:tabs>
        <w:ind w:hanging="360" w:left="5760"/>
      </w:pPr>
      <w:rPr>
        <w:rFonts w:ascii="Wingdings" w:cs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  <w:sz w:val="20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DejaVu Sans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totalprice"/>
    <w:basedOn w:val="style15"/>
    <w:next w:val="style16"/>
    <w:rPr/>
  </w:style>
  <w:style w:styleId="style17" w:type="character">
    <w:name w:val="Выделение жирным"/>
    <w:basedOn w:val="style15"/>
    <w:next w:val="style17"/>
    <w:rPr>
      <w:b/>
      <w:bCs/>
    </w:rPr>
  </w:style>
  <w:style w:styleId="style18" w:type="character">
    <w:name w:val="apple-converted-space"/>
    <w:basedOn w:val="style15"/>
    <w:next w:val="style18"/>
    <w:rPr/>
  </w:style>
  <w:style w:styleId="style19" w:type="character">
    <w:name w:val="Текст выноски Знак"/>
    <w:basedOn w:val="style15"/>
    <w:next w:val="style19"/>
    <w:rPr>
      <w:rFonts w:ascii="Tahoma" w:cs="Tahoma" w:hAnsi="Tahoma"/>
      <w:sz w:val="16"/>
      <w:szCs w:val="16"/>
    </w:rPr>
  </w:style>
  <w:style w:styleId="style20" w:type="character">
    <w:name w:val="ListLabel 1"/>
    <w:next w:val="style20"/>
    <w:rPr>
      <w:sz w:val="20"/>
    </w:rPr>
  </w:style>
  <w:style w:styleId="style21" w:type="paragraph">
    <w:name w:val="Заголовок"/>
    <w:basedOn w:val="style0"/>
    <w:next w:val="style22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22" w:type="paragraph">
    <w:name w:val="Основной текст"/>
    <w:basedOn w:val="style0"/>
    <w:next w:val="style22"/>
    <w:pPr>
      <w:spacing w:after="120" w:before="0"/>
      <w:contextualSpacing w:val="false"/>
    </w:pPr>
    <w:rPr/>
  </w:style>
  <w:style w:styleId="style23" w:type="paragraph">
    <w:name w:val="Список"/>
    <w:basedOn w:val="style22"/>
    <w:next w:val="style23"/>
    <w:pPr/>
    <w:rPr>
      <w:rFonts w:cs="Lohit Hindi"/>
    </w:rPr>
  </w:style>
  <w:style w:styleId="style24" w:type="paragraph">
    <w:name w:val="Название"/>
    <w:basedOn w:val="style0"/>
    <w:next w:val="style24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5" w:type="paragraph">
    <w:name w:val="Указатель"/>
    <w:basedOn w:val="style0"/>
    <w:next w:val="style25"/>
    <w:pPr>
      <w:suppressLineNumbers/>
    </w:pPr>
    <w:rPr>
      <w:rFonts w:cs="Lohit Hindi"/>
    </w:rPr>
  </w:style>
  <w:style w:styleId="style26" w:type="paragraph">
    <w:name w:val="Normal (Web)"/>
    <w:basedOn w:val="style0"/>
    <w:next w:val="style26"/>
    <w:pPr>
      <w:spacing w:after="100" w:before="100" w:line="100" w:lineRule="atLeast"/>
      <w:contextualSpacing w:val="false"/>
    </w:pPr>
    <w:rPr>
      <w:rFonts w:ascii="Times New Roman" w:cs="Times New Roman" w:eastAsia="Times New Roman" w:hAnsi="Times New Roman"/>
      <w:sz w:val="24"/>
      <w:szCs w:val="24"/>
      <w:lang w:eastAsia="ru-RU"/>
    </w:rPr>
  </w:style>
  <w:style w:styleId="style27" w:type="paragraph">
    <w:name w:val="Balloon Text"/>
    <w:basedOn w:val="style0"/>
    <w:next w:val="style27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2014-09-29T09:06:00.00Z</dcterms:created>
  <dc:creator>User</dc:creator>
  <cp:lastModifiedBy>User</cp:lastModifiedBy>
  <dcterms:modified xsi:type="dcterms:W3CDTF">2014-09-29T09:06:00.00Z</dcterms:modified>
  <cp:revision>2</cp:revision>
</cp:coreProperties>
</file>